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DA" w:rsidRPr="004329DA" w:rsidRDefault="004329DA" w:rsidP="004329DA">
      <w:pPr>
        <w:jc w:val="center"/>
        <w:rPr>
          <w:rFonts w:ascii="Times New Roman" w:hAnsi="Times New Roman" w:cs="Times New Roman"/>
          <w:b/>
          <w:sz w:val="28"/>
          <w:szCs w:val="28"/>
        </w:rPr>
      </w:pPr>
      <w:r w:rsidRPr="004329DA">
        <w:rPr>
          <w:rFonts w:ascii="Times New Roman" w:hAnsi="Times New Roman" w:cs="Times New Roman"/>
          <w:b/>
          <w:sz w:val="28"/>
          <w:szCs w:val="28"/>
        </w:rPr>
        <w:t>Что такое экстремизм</w:t>
      </w:r>
    </w:p>
    <w:p w:rsidR="004329DA" w:rsidRPr="004329DA" w:rsidRDefault="004329DA" w:rsidP="004329DA">
      <w:pPr>
        <w:ind w:firstLine="708"/>
        <w:rPr>
          <w:rFonts w:ascii="Times New Roman" w:hAnsi="Times New Roman" w:cs="Times New Roman"/>
          <w:sz w:val="28"/>
          <w:szCs w:val="28"/>
        </w:rPr>
      </w:pPr>
      <w:r w:rsidRPr="004329DA">
        <w:rPr>
          <w:rFonts w:ascii="Times New Roman" w:hAnsi="Times New Roman" w:cs="Times New Roman"/>
          <w:sz w:val="28"/>
          <w:szCs w:val="28"/>
        </w:rPr>
        <w:t>На протяжении последних нескольких лет одним из основных требований общества к государству является обеспечение защищенности от самой опасной угрозы — экстремизма, а также его крайней форме проявления — терроризма.</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Правовой основой противодействия экстремизму и терроризму являются Федеральные законы от 25.07.2002 № 114-ФЗ «О противодействии экстремистской деятельности», № 35-ФЗ от 06.03.2006 «О противодействии терроризму».</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Эффективность осуществления профилактики экстремизма и терроризма напрямую зависит от ясного и правильного понимания этих сложных общественных явлений. Для понимания необходимо, прежде всего, знать смысл и содержание понятий.</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Экстремизм – это сложное социально-политическое и криминальное явление, представляющее собой угрозу для жизненно важных интересов личности, общества и государства. Профилактика всех форм экстремизма – это приоритетное направление в работе всех правоохранительных органов, заключающееся в выявлении, устранении, локализации факторов, способствующих совершению актов экстремизма и терроризма.</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Экстремистской деятельностью (экстремизмом) является:</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-публичное оправдание терроризма и иная террористическая деятельность;</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-возбуждение социальной, расовой, национальной или религиозной розни;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-совершение преступлений по мотивам, указанным в пункте "е" части первой статьи 63 Уголовного кодекса Российской Федерации;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Под экстремистской организацией следует понимать общественное или религиозное объединение, в отношении которого по основаниям, предусмотренным Федеральным законом от 25 июля 2002 года № 114-ФЗ,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 xml:space="preserve">Экстремистские материалы </w:t>
      </w:r>
      <w:proofErr w:type="gramStart"/>
      <w:r w:rsidRPr="004329DA">
        <w:rPr>
          <w:rFonts w:ascii="Times New Roman" w:hAnsi="Times New Roman" w:cs="Times New Roman"/>
          <w:sz w:val="28"/>
          <w:szCs w:val="28"/>
        </w:rPr>
        <w:t>–э</w:t>
      </w:r>
      <w:proofErr w:type="gramEnd"/>
      <w:r w:rsidRPr="004329DA">
        <w:rPr>
          <w:rFonts w:ascii="Times New Roman" w:hAnsi="Times New Roman" w:cs="Times New Roman"/>
          <w:sz w:val="28"/>
          <w:szCs w:val="28"/>
        </w:rPr>
        <w:t xml:space="preserve">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w:t>
      </w:r>
      <w:r w:rsidRPr="004329DA">
        <w:rPr>
          <w:rFonts w:ascii="Times New Roman" w:hAnsi="Times New Roman" w:cs="Times New Roman"/>
          <w:sz w:val="28"/>
          <w:szCs w:val="28"/>
        </w:rPr>
        <w:lastRenderedPageBreak/>
        <w:t>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 xml:space="preserve">Термин "терроризм" происходит от лат. </w:t>
      </w:r>
      <w:proofErr w:type="spellStart"/>
      <w:r w:rsidRPr="004329DA">
        <w:rPr>
          <w:rFonts w:ascii="Times New Roman" w:hAnsi="Times New Roman" w:cs="Times New Roman"/>
          <w:sz w:val="28"/>
          <w:szCs w:val="28"/>
        </w:rPr>
        <w:t>terror</w:t>
      </w:r>
      <w:proofErr w:type="spellEnd"/>
      <w:r w:rsidRPr="004329DA">
        <w:rPr>
          <w:rFonts w:ascii="Times New Roman" w:hAnsi="Times New Roman" w:cs="Times New Roman"/>
          <w:sz w:val="28"/>
          <w:szCs w:val="28"/>
        </w:rPr>
        <w:t xml:space="preserve"> (страх, ужас). Как социально-политическое и общественно опасное явление терроризм имеет многовековую историю. Суть его — наведение страха и ужаса на власть и население путем совершения жестокого насилия и угроз насилием с целью запугивания, устрашения и подавления политических противников и конкурентов, навязывания им своей линии поведения — остается практически неизменным.</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Следственным управлением СК России по Республике Хакасия уделяется повышенное внимание вопросам борьбы с этими преступлениями.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 xml:space="preserve">Национальный состав населения Республики Хакасия насчитывает более 100  национальностей, большинство из которых русские-81,7 %, хакасы-12,1 %, немцы, украинцы, татары, белорусы, чуваши, мордва, шорцы. Представлены все основные религии. Вместе с тем, многонациональность и </w:t>
      </w:r>
      <w:proofErr w:type="spellStart"/>
      <w:r w:rsidRPr="004329DA">
        <w:rPr>
          <w:rFonts w:ascii="Times New Roman" w:hAnsi="Times New Roman" w:cs="Times New Roman"/>
          <w:sz w:val="28"/>
          <w:szCs w:val="28"/>
        </w:rPr>
        <w:t>поликонфессиональность</w:t>
      </w:r>
      <w:proofErr w:type="spellEnd"/>
      <w:r w:rsidRPr="004329DA">
        <w:rPr>
          <w:rFonts w:ascii="Times New Roman" w:hAnsi="Times New Roman" w:cs="Times New Roman"/>
          <w:sz w:val="28"/>
          <w:szCs w:val="28"/>
        </w:rPr>
        <w:t xml:space="preserve"> населения республики не являлись источниками социальной напряженности. Республика Хакасия в этнополитическом плане в течение длительного периода остается одним из стабильных и спокойных регионов Российской Федерации. В значительной степени это результат усилий органов государственной власти, институтов гражданского общества, неизменно направленных на поддержание и укрепление межнационального и межконфессионального взаимопонимания и согласия.</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В настоящее время в Республике Хакасия условий для открытого проявления межнациональных разногласий нет, так как националистические радикальные движения не имеют социальной поддержки в обществе.</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Несмотря на это,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 xml:space="preserve">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w:t>
      </w:r>
      <w:r w:rsidRPr="004329DA">
        <w:rPr>
          <w:rFonts w:ascii="Times New Roman" w:hAnsi="Times New Roman" w:cs="Times New Roman"/>
          <w:sz w:val="28"/>
          <w:szCs w:val="28"/>
        </w:rPr>
        <w:lastRenderedPageBreak/>
        <w:t>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Основными направлениями деятельности в сфере противодействия проявлениям экстремизма являются:</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-выявление и анализ причин и условий, способствующих совершению правонарушений экстремистской направленности, принятие мер по их устранению;</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-привлечение к работе по противодействию проявлениям экстремизма общественных организаций и отдельных граждан.</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w:t>
      </w:r>
      <w:r w:rsidRPr="004329DA">
        <w:rPr>
          <w:rFonts w:ascii="Times New Roman" w:hAnsi="Times New Roman" w:cs="Times New Roman"/>
          <w:sz w:val="28"/>
          <w:szCs w:val="28"/>
        </w:rPr>
        <w:lastRenderedPageBreak/>
        <w:t>информации, ввиду отсутствия жизненного опыта оказались наиболее подверженные этому влиянию.</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Согласно статистическим данным,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В настоящее время современный человек не мыслит свою жизнь без всемирной сети «Интернет», и доступ к нему есть практически у каждого третьего жителя планеты, а в России почти у каждого второго. Вместе с тем, сегодня «Интернет» стал базовым каналом связи для распространения деструктивной идеологии, агрессии, насилия и межнациональной розни. Он используется для координации и подготовки терактов, вербовки боевиков, осуществлению экстремистских провокаций.</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Особенностью преступлений, совершаемых в информационно-телекоммуникационных сетях, является надуманное мнение пользователей о том, что высказывание комментариев или размещение материалов под псевдонимами позволит им избежать ответственности. Каждый должен понимать, что большая часть обсуждений в социальных сетях инициируется провокаторами, в том числе международными, с использованием изначально недостоверных и ложных сведений с целью искусственного создания конфликтных ситуаций и обострения социальной напряженности.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 xml:space="preserve">За распространение запрещённых материалов в Интернете несут ответственность авторы и </w:t>
      </w:r>
      <w:proofErr w:type="spellStart"/>
      <w:r w:rsidRPr="004329DA">
        <w:rPr>
          <w:rFonts w:ascii="Times New Roman" w:hAnsi="Times New Roman" w:cs="Times New Roman"/>
          <w:sz w:val="28"/>
          <w:szCs w:val="28"/>
        </w:rPr>
        <w:t>распространителиматериала</w:t>
      </w:r>
      <w:proofErr w:type="spellEnd"/>
      <w:r w:rsidRPr="004329DA">
        <w:rPr>
          <w:rFonts w:ascii="Times New Roman" w:hAnsi="Times New Roman" w:cs="Times New Roman"/>
          <w:sz w:val="28"/>
          <w:szCs w:val="28"/>
        </w:rPr>
        <w:t>.</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lastRenderedPageBreak/>
        <w:t>Впервые список был опубликован 14 июля 2007 года и сначала состоял из 14 пунктов. С тех пор список регулярно обновляется. По состоянию на 31 октября 2015 года список включает в себя 3113 пунктов.</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В список входят статьи, листовки и брошюры, книги, номера газет и журналов, кинофильмы, видеоролики и произведения изобразительного искусства.</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4329DA">
        <w:rPr>
          <w:rFonts w:ascii="Times New Roman" w:hAnsi="Times New Roman" w:cs="Times New Roman"/>
          <w:sz w:val="28"/>
          <w:szCs w:val="28"/>
        </w:rPr>
        <w:t>экстремистскими</w:t>
      </w:r>
      <w:proofErr w:type="gramEnd"/>
      <w:r w:rsidRPr="004329DA">
        <w:rPr>
          <w:rFonts w:ascii="Times New Roman" w:hAnsi="Times New Roman" w:cs="Times New Roman"/>
          <w:sz w:val="28"/>
          <w:szCs w:val="28"/>
        </w:rPr>
        <w:t>.</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Основная масса зарегистрированных на территории Республики Хакасия преступлений в 2015 году и за 8 месяцев 2016 года совершались с использованием сети Интернет и социальной сети «</w:t>
      </w:r>
      <w:proofErr w:type="spellStart"/>
      <w:r w:rsidRPr="004329DA">
        <w:rPr>
          <w:rFonts w:ascii="Times New Roman" w:hAnsi="Times New Roman" w:cs="Times New Roman"/>
          <w:sz w:val="28"/>
          <w:szCs w:val="28"/>
        </w:rPr>
        <w:t>ВКонтакте</w:t>
      </w:r>
      <w:proofErr w:type="spellEnd"/>
      <w:r w:rsidRPr="004329DA">
        <w:rPr>
          <w:rFonts w:ascii="Times New Roman" w:hAnsi="Times New Roman" w:cs="Times New Roman"/>
          <w:sz w:val="28"/>
          <w:szCs w:val="28"/>
        </w:rPr>
        <w:t>», где злоумышленниками размещались различные видеоролики, изображения и комментарии экстремистского характера.</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Учитывая важность работы следственных органов Следственного комитета Российской Федерации в сфере противодействия экстремизму и терроризму, следственным управлением в 2015 году и в 1 полугодии 2016 года систематически осуществлялась работа информационно-пропагандистского характера с целью профилактики данного вида преступности на территории региона и создания условий для мирных межнациональных и межрелигиозных (межконфессиональных) отношений между жителями республики.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lastRenderedPageBreak/>
        <w:t>В целях пропаганды антитеррористической деятельности следственным управлением активно проводится работа, направленная на правовое просвещение граждан. Для этого на официальном сайте следственного управления в разделе «Противодействие терроризму и экстремизму» размещены нормативно-правовые документы в сфере противодействия терроризму, материалы профилактического характера (памятки, информационно-разъяснительные статьи, часть из которых заимствована с сайта информационно-аналитического портала Национального антитеррористического комитета) и отражены организационные и профилактические мероприятия, проводимые следственным управлением.</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По инициативе следственного управления в декабре 2014 года руководитель следственного управления включен в состав постоянно действующей антитеррористической комиссии и оперативного штаба в Республике Хакасия.</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Так, в феврале и апреле 2016 года руководитель следственного управления принял участие в совместном заседании антитеррористической комиссии и оперативного штаба в Республике Хакасия, состоявшемся в правительстве Республики Хакасия под председательством главы Республики Хакасия. В работе заседаний приняли участие руководители силовых структур, специальных служб региона, руководители министерств и ведомств, главы городов и муниципальных районов республики, руководители предприятий.</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Вопросы противодействия экстремизму и терроризму систематически обсуждаются на совещаниях различного уровня, в том числе в рамках координационной деятельности прокуратуры Республики Хакасия, на заседаниях межведомственной рабочей группы по противодействию национальному и религиозному экстремизму, на которых происходит обмен оперативно значимой информацией, определяются основные направления профилактической работы, вырабатываются оптимальные способы предотвращения возможных проявлений терроризма на территории республики. В ходе проводимой работы следственным управлением осуществляется постоянное взаимодействие с региональными органами МВД, УФСБ, ГУМЧС, УФМС России.</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 xml:space="preserve">Сотрудниками следственного управления на постоянной основе проводятся встречи с учащимися и педагогами общеобразовательных учебных заведений, профессиональных училищ, высших учебных заведений, с трудовыми коллективами, где в профилактических целях разъясняется информация о недопустимости террористических проявлений, </w:t>
      </w:r>
      <w:r w:rsidRPr="004329DA">
        <w:rPr>
          <w:rFonts w:ascii="Times New Roman" w:hAnsi="Times New Roman" w:cs="Times New Roman"/>
          <w:sz w:val="28"/>
          <w:szCs w:val="28"/>
        </w:rPr>
        <w:lastRenderedPageBreak/>
        <w:t>необходимости экстренного реагирования при наличии возможных угроз общественной безопасности, особенно акцентируется внимание слушателей на информации об ответственности за совершение преступлений террористического характера.</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Также в ходе встреч разъясняется порядок действий при возникновении угрозы террористического характера (обнаружение подозрительных предметов, телефонные звонки и др.) и в ситуации террористического акта.</w:t>
      </w:r>
    </w:p>
    <w:p w:rsidR="004329DA" w:rsidRPr="004329DA" w:rsidRDefault="004329DA" w:rsidP="004329DA">
      <w:pPr>
        <w:rPr>
          <w:rFonts w:ascii="Times New Roman" w:hAnsi="Times New Roman" w:cs="Times New Roman"/>
          <w:sz w:val="28"/>
          <w:szCs w:val="28"/>
        </w:rPr>
      </w:pPr>
      <w:r w:rsidRPr="004329DA">
        <w:rPr>
          <w:rFonts w:ascii="Times New Roman" w:hAnsi="Times New Roman" w:cs="Times New Roman"/>
          <w:sz w:val="28"/>
          <w:szCs w:val="28"/>
        </w:rPr>
        <w:t xml:space="preserve">Работа по противодействию преступлениям террористической направленности остается наиболее важным направлением деятельности следственного управления, в связи с чем руководители территориальных подразделений ориентированы на повышение качества предварительного следствия и проведения </w:t>
      </w:r>
      <w:proofErr w:type="spellStart"/>
      <w:r w:rsidRPr="004329DA">
        <w:rPr>
          <w:rFonts w:ascii="Times New Roman" w:hAnsi="Times New Roman" w:cs="Times New Roman"/>
          <w:sz w:val="28"/>
          <w:szCs w:val="28"/>
        </w:rPr>
        <w:t>доследственных</w:t>
      </w:r>
      <w:proofErr w:type="spellEnd"/>
      <w:r w:rsidRPr="004329DA">
        <w:rPr>
          <w:rFonts w:ascii="Times New Roman" w:hAnsi="Times New Roman" w:cs="Times New Roman"/>
          <w:sz w:val="28"/>
          <w:szCs w:val="28"/>
        </w:rPr>
        <w:t xml:space="preserve"> проверок по делам и материалам указанной категории и усиление профилактической работы, в том числе пропагандисткой работы среди населения республики.</w:t>
      </w:r>
    </w:p>
    <w:p w:rsidR="004329DA" w:rsidRDefault="004329DA" w:rsidP="004329DA">
      <w:pPr>
        <w:rPr>
          <w:rStyle w:val="a3"/>
        </w:rPr>
      </w:pPr>
      <w:hyperlink r:id="rId5" w:history="1">
        <w:r>
          <w:rPr>
            <w:rStyle w:val="a4"/>
            <w:i/>
            <w:iCs/>
          </w:rPr>
          <w:t>Информационное агентство «Хакасия»</w:t>
        </w:r>
      </w:hyperlink>
    </w:p>
    <w:p w:rsidR="00CA2217" w:rsidRPr="004329DA" w:rsidRDefault="00CA2217" w:rsidP="004329DA">
      <w:pPr>
        <w:rPr>
          <w:rFonts w:ascii="Times New Roman" w:hAnsi="Times New Roman" w:cs="Times New Roman"/>
          <w:sz w:val="28"/>
          <w:szCs w:val="28"/>
        </w:rPr>
      </w:pPr>
      <w:r w:rsidRPr="00CA2217">
        <w:rPr>
          <w:rFonts w:ascii="Times New Roman" w:hAnsi="Times New Roman" w:cs="Times New Roman"/>
          <w:sz w:val="28"/>
          <w:szCs w:val="28"/>
        </w:rPr>
        <w:t>http://nac.gov.ru/publikacii/stati-knigi-broshyury/chto-takoe-ekstremizm-press-sluzhba.html</w:t>
      </w:r>
      <w:bookmarkStart w:id="0" w:name="_GoBack"/>
      <w:bookmarkEnd w:id="0"/>
    </w:p>
    <w:sectPr w:rsidR="00CA2217" w:rsidRPr="00432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3B"/>
    <w:rsid w:val="0027323B"/>
    <w:rsid w:val="004329DA"/>
    <w:rsid w:val="008D563C"/>
    <w:rsid w:val="00CA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329DA"/>
    <w:rPr>
      <w:i/>
      <w:iCs/>
    </w:rPr>
  </w:style>
  <w:style w:type="character" w:styleId="a4">
    <w:name w:val="Hyperlink"/>
    <w:basedOn w:val="a0"/>
    <w:uiPriority w:val="99"/>
    <w:semiHidden/>
    <w:unhideWhenUsed/>
    <w:rsid w:val="004329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329DA"/>
    <w:rPr>
      <w:i/>
      <w:iCs/>
    </w:rPr>
  </w:style>
  <w:style w:type="character" w:styleId="a4">
    <w:name w:val="Hyperlink"/>
    <w:basedOn w:val="a0"/>
    <w:uiPriority w:val="99"/>
    <w:semiHidden/>
    <w:unhideWhenUsed/>
    <w:rsid w:val="00432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17527">
      <w:bodyDiv w:val="1"/>
      <w:marLeft w:val="0"/>
      <w:marRight w:val="0"/>
      <w:marTop w:val="0"/>
      <w:marBottom w:val="0"/>
      <w:divBdr>
        <w:top w:val="none" w:sz="0" w:space="0" w:color="auto"/>
        <w:left w:val="none" w:sz="0" w:space="0" w:color="auto"/>
        <w:bottom w:val="none" w:sz="0" w:space="0" w:color="auto"/>
        <w:right w:val="none" w:sz="0" w:space="0" w:color="auto"/>
      </w:divBdr>
      <w:divsChild>
        <w:div w:id="1745833875">
          <w:marLeft w:val="0"/>
          <w:marRight w:val="0"/>
          <w:marTop w:val="0"/>
          <w:marBottom w:val="0"/>
          <w:divBdr>
            <w:top w:val="none" w:sz="0" w:space="0" w:color="auto"/>
            <w:left w:val="none" w:sz="0" w:space="0" w:color="auto"/>
            <w:bottom w:val="none" w:sz="0" w:space="0" w:color="auto"/>
            <w:right w:val="none" w:sz="0" w:space="0" w:color="auto"/>
          </w:divBdr>
        </w:div>
        <w:div w:id="969015419">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sChild>
                <w:div w:id="824008597">
                  <w:marLeft w:val="0"/>
                  <w:marRight w:val="0"/>
                  <w:marTop w:val="0"/>
                  <w:marBottom w:val="0"/>
                  <w:divBdr>
                    <w:top w:val="none" w:sz="0" w:space="0" w:color="auto"/>
                    <w:left w:val="none" w:sz="0" w:space="0" w:color="auto"/>
                    <w:bottom w:val="none" w:sz="0" w:space="0" w:color="auto"/>
                    <w:right w:val="none" w:sz="0" w:space="0" w:color="auto"/>
                  </w:divBdr>
                  <w:divsChild>
                    <w:div w:id="1787967727">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0"/>
                          <w:marRight w:val="0"/>
                          <w:marTop w:val="0"/>
                          <w:marBottom w:val="0"/>
                          <w:divBdr>
                            <w:top w:val="none" w:sz="0" w:space="0" w:color="auto"/>
                            <w:left w:val="none" w:sz="0" w:space="0" w:color="auto"/>
                            <w:bottom w:val="none" w:sz="0" w:space="0" w:color="auto"/>
                            <w:right w:val="none" w:sz="0" w:space="0" w:color="auto"/>
                          </w:divBdr>
                        </w:div>
                      </w:divsChild>
                    </w:div>
                    <w:div w:id="522331106">
                      <w:marLeft w:val="0"/>
                      <w:marRight w:val="0"/>
                      <w:marTop w:val="0"/>
                      <w:marBottom w:val="0"/>
                      <w:divBdr>
                        <w:top w:val="none" w:sz="0" w:space="0" w:color="auto"/>
                        <w:left w:val="none" w:sz="0" w:space="0" w:color="auto"/>
                        <w:bottom w:val="none" w:sz="0" w:space="0" w:color="auto"/>
                        <w:right w:val="none" w:sz="0" w:space="0" w:color="auto"/>
                      </w:divBdr>
                      <w:divsChild>
                        <w:div w:id="1191453712">
                          <w:marLeft w:val="0"/>
                          <w:marRight w:val="0"/>
                          <w:marTop w:val="0"/>
                          <w:marBottom w:val="0"/>
                          <w:divBdr>
                            <w:top w:val="none" w:sz="0" w:space="0" w:color="auto"/>
                            <w:left w:val="none" w:sz="0" w:space="0" w:color="auto"/>
                            <w:bottom w:val="none" w:sz="0" w:space="0" w:color="auto"/>
                            <w:right w:val="none" w:sz="0" w:space="0" w:color="auto"/>
                          </w:divBdr>
                        </w:div>
                      </w:divsChild>
                    </w:div>
                    <w:div w:id="682705602">
                      <w:marLeft w:val="0"/>
                      <w:marRight w:val="0"/>
                      <w:marTop w:val="0"/>
                      <w:marBottom w:val="0"/>
                      <w:divBdr>
                        <w:top w:val="none" w:sz="0" w:space="0" w:color="auto"/>
                        <w:left w:val="none" w:sz="0" w:space="0" w:color="auto"/>
                        <w:bottom w:val="none" w:sz="0" w:space="0" w:color="auto"/>
                        <w:right w:val="none" w:sz="0" w:space="0" w:color="auto"/>
                      </w:divBdr>
                      <w:divsChild>
                        <w:div w:id="1257665171">
                          <w:marLeft w:val="0"/>
                          <w:marRight w:val="0"/>
                          <w:marTop w:val="0"/>
                          <w:marBottom w:val="0"/>
                          <w:divBdr>
                            <w:top w:val="none" w:sz="0" w:space="0" w:color="auto"/>
                            <w:left w:val="none" w:sz="0" w:space="0" w:color="auto"/>
                            <w:bottom w:val="none" w:sz="0" w:space="0" w:color="auto"/>
                            <w:right w:val="none" w:sz="0" w:space="0" w:color="auto"/>
                          </w:divBdr>
                          <w:divsChild>
                            <w:div w:id="5986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9rus.info/index.php/obshchestvo/item/54851-chto-takoe-ekstremiz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2377</Words>
  <Characters>13550</Characters>
  <Application>Microsoft Office Word</Application>
  <DocSecurity>0</DocSecurity>
  <Lines>112</Lines>
  <Paragraphs>31</Paragraphs>
  <ScaleCrop>false</ScaleCrop>
  <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Николаевич В.Н.. Григорьев</dc:creator>
  <cp:keywords/>
  <dc:description/>
  <cp:lastModifiedBy>Виктор Николаевич В.Н.. Григорьев</cp:lastModifiedBy>
  <cp:revision>4</cp:revision>
  <dcterms:created xsi:type="dcterms:W3CDTF">2017-05-03T15:18:00Z</dcterms:created>
  <dcterms:modified xsi:type="dcterms:W3CDTF">2017-05-03T15:22:00Z</dcterms:modified>
</cp:coreProperties>
</file>